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479C9A" w14:textId="77777777" w:rsidR="00BD1998" w:rsidRPr="00133E73" w:rsidRDefault="002F7EB3" w:rsidP="00585707">
      <w:pPr>
        <w:jc w:val="center"/>
        <w:rPr>
          <w:rFonts w:ascii="STFangsong" w:eastAsia="STFangsong" w:hAnsi="STFangsong"/>
          <w:b/>
          <w:color w:val="0000FF"/>
          <w:sz w:val="24"/>
          <w:szCs w:val="24"/>
        </w:rPr>
      </w:pPr>
      <w:r w:rsidRPr="00133E73">
        <w:rPr>
          <w:rFonts w:ascii="STFangsong" w:eastAsia="STFangsong" w:hAnsi="STFangsong" w:cs="Arial Unicode MS"/>
          <w:b/>
          <w:color w:val="0000FF"/>
          <w:sz w:val="24"/>
          <w:szCs w:val="24"/>
        </w:rPr>
        <w:t>谷歌中国教育合作项目高职区域联盟项目</w:t>
      </w:r>
    </w:p>
    <w:p w14:paraId="6B4F7332" w14:textId="77777777" w:rsidR="00BD1998" w:rsidRPr="00133E73" w:rsidRDefault="002F7EB3" w:rsidP="00585707">
      <w:pPr>
        <w:jc w:val="center"/>
        <w:rPr>
          <w:rFonts w:ascii="STFangsong" w:eastAsia="STFangsong" w:hAnsi="STFangsong"/>
          <w:color w:val="0000FF"/>
          <w:sz w:val="24"/>
          <w:szCs w:val="24"/>
        </w:rPr>
      </w:pPr>
      <w:r w:rsidRPr="00133E73">
        <w:rPr>
          <w:rFonts w:ascii="STFangsong" w:eastAsia="STFangsong" w:hAnsi="STFangsong" w:cs="Arial Unicode MS"/>
          <w:b/>
          <w:color w:val="0000FF"/>
          <w:sz w:val="24"/>
          <w:szCs w:val="24"/>
        </w:rPr>
        <w:t>申报通知（2019</w:t>
      </w:r>
      <w:r w:rsidRPr="00133E73">
        <w:rPr>
          <w:rFonts w:ascii="STFangsong" w:eastAsia="STFangsong" w:hAnsi="STFangsong" w:cs="Arial Unicode MS"/>
          <w:color w:val="0000FF"/>
          <w:sz w:val="24"/>
          <w:szCs w:val="24"/>
        </w:rPr>
        <w:t>）</w:t>
      </w:r>
    </w:p>
    <w:p w14:paraId="6203284B" w14:textId="2367F331" w:rsidR="00BD1998" w:rsidRPr="00133E73" w:rsidRDefault="002F7EB3" w:rsidP="00585707">
      <w:pPr>
        <w:ind w:firstLine="425"/>
        <w:jc w:val="both"/>
        <w:rPr>
          <w:rFonts w:ascii="STFangsong" w:eastAsia="STFangsong" w:hAnsi="STFangsong"/>
          <w:sz w:val="24"/>
          <w:szCs w:val="24"/>
        </w:rPr>
      </w:pPr>
      <w:r w:rsidRPr="00133E73">
        <w:rPr>
          <w:rFonts w:ascii="STFangsong" w:eastAsia="STFangsong" w:hAnsi="STFangsong" w:cs="Arial Unicode MS"/>
          <w:sz w:val="24"/>
          <w:szCs w:val="24"/>
        </w:rPr>
        <w:t>从资源均衡、照顾更多院校角度出发，谷歌在2017年下半年启动了高职区域联盟项目，确定了包括湖南、四川、新疆、安徽等若干区域联盟。从实施效果和实践看，效果良好，既发挥了区域联盟负责学校（种子学校）的示范引领作用，又推动了本区域内更多高职院校参与谷歌高职教育合作项目，获得了资源和信息。</w:t>
      </w:r>
    </w:p>
    <w:p w14:paraId="2E2DAB13" w14:textId="77777777" w:rsidR="00BD1998" w:rsidRPr="00133E73" w:rsidRDefault="002F7EB3" w:rsidP="00585707">
      <w:pPr>
        <w:ind w:firstLine="425"/>
        <w:jc w:val="both"/>
        <w:rPr>
          <w:rFonts w:ascii="STFangsong" w:eastAsia="STFangsong" w:hAnsi="STFangsong"/>
          <w:sz w:val="24"/>
          <w:szCs w:val="24"/>
        </w:rPr>
      </w:pPr>
      <w:r w:rsidRPr="00133E73">
        <w:rPr>
          <w:rFonts w:ascii="STFangsong" w:eastAsia="STFangsong" w:hAnsi="STFangsong" w:cs="Arial Unicode MS"/>
          <w:sz w:val="24"/>
          <w:szCs w:val="24"/>
        </w:rPr>
        <w:t>为了继续推动这一很好的项目形式，谷歌中国教育合作部拟启动2019年高职区域项目申报工作。如下申报指南，包含具体说明和申报方式。</w:t>
      </w:r>
    </w:p>
    <w:p w14:paraId="2908CBF9" w14:textId="77777777" w:rsidR="00BD1998" w:rsidRPr="00133E73" w:rsidRDefault="00BD1998" w:rsidP="00585707">
      <w:pPr>
        <w:ind w:firstLine="426"/>
        <w:jc w:val="both"/>
        <w:rPr>
          <w:rFonts w:ascii="STFangsong" w:eastAsia="STFangsong" w:hAnsi="STFangsong"/>
          <w:sz w:val="24"/>
          <w:szCs w:val="24"/>
        </w:rPr>
      </w:pPr>
    </w:p>
    <w:p w14:paraId="5185E1A7" w14:textId="77777777" w:rsidR="00BD1998" w:rsidRPr="00133E73" w:rsidRDefault="002F7EB3" w:rsidP="00585707">
      <w:pPr>
        <w:ind w:firstLine="6"/>
        <w:jc w:val="both"/>
        <w:rPr>
          <w:rFonts w:ascii="STFangsong" w:eastAsia="STFangsong" w:hAnsi="STFangsong"/>
          <w:sz w:val="24"/>
          <w:szCs w:val="24"/>
        </w:rPr>
      </w:pPr>
      <w:r w:rsidRPr="00133E73">
        <w:rPr>
          <w:rFonts w:ascii="STFangsong" w:eastAsia="STFangsong" w:hAnsi="STFangsong" w:cs="Arial Unicode MS"/>
          <w:sz w:val="24"/>
          <w:szCs w:val="24"/>
        </w:rPr>
        <w:t>一、区域联盟（种子学校）的任务：</w:t>
      </w:r>
    </w:p>
    <w:p w14:paraId="182EA77A" w14:textId="77777777" w:rsidR="00BD1998" w:rsidRPr="00133E73" w:rsidRDefault="002F7EB3" w:rsidP="00585707">
      <w:pPr>
        <w:ind w:firstLine="426"/>
        <w:jc w:val="both"/>
        <w:rPr>
          <w:rFonts w:ascii="STFangsong" w:eastAsia="STFangsong" w:hAnsi="STFangsong"/>
          <w:sz w:val="24"/>
          <w:szCs w:val="24"/>
        </w:rPr>
      </w:pPr>
      <w:r w:rsidRPr="00133E73">
        <w:rPr>
          <w:rFonts w:ascii="STFangsong" w:eastAsia="STFangsong" w:hAnsi="STFangsong" w:cs="Arial Unicode MS"/>
          <w:sz w:val="24"/>
          <w:szCs w:val="24"/>
        </w:rPr>
        <w:t>高职区域联盟项目发挥一个区域（一个省或相邻几个省）内种子学校的力量，谷歌出资资助种子学校来组织区域联盟活动，包括但不限于：课程研讨会（教师）、师资培训班（教师）、创新训练营（学生）等。由此吸纳更多学校加入进来，资源照顾到更多学校。区域联盟项目的种子学校发挥示范引领和辐射作用，贡献于当地区域内的其他学校；新学校可以获得师资培训、教学资源和经验等。这是良性发展、共促进步的合作模式。</w:t>
      </w:r>
    </w:p>
    <w:p w14:paraId="50DBA4B3" w14:textId="454DC536" w:rsidR="00BD1998" w:rsidRPr="00133E73" w:rsidRDefault="002F7EB3" w:rsidP="00585707">
      <w:pPr>
        <w:numPr>
          <w:ilvl w:val="0"/>
          <w:numId w:val="3"/>
        </w:numPr>
        <w:jc w:val="both"/>
        <w:rPr>
          <w:rFonts w:ascii="STFangsong" w:eastAsia="STFangsong" w:hAnsi="STFangsong"/>
          <w:sz w:val="24"/>
          <w:szCs w:val="24"/>
        </w:rPr>
      </w:pPr>
      <w:r w:rsidRPr="00133E73">
        <w:rPr>
          <w:rFonts w:ascii="STFangsong" w:eastAsia="STFangsong" w:hAnsi="STFangsong" w:cs="Arial Unicode MS"/>
          <w:sz w:val="24"/>
          <w:szCs w:val="24"/>
        </w:rPr>
        <w:t>组织本区域内的课程研讨会或者教学研讨会，研讨会时间长度可按照需要来定。研讨会的内容是促进基于</w:t>
      </w:r>
      <w:r w:rsidRPr="00133E73">
        <w:rPr>
          <w:rFonts w:ascii="STFangsong" w:eastAsia="STFangsong" w:hAnsi="STFangsong" w:cs="Arial Unicode MS"/>
          <w:b/>
          <w:color w:val="FF0000"/>
          <w:sz w:val="24"/>
          <w:szCs w:val="24"/>
        </w:rPr>
        <w:t>谷歌人工智能开源框架TensorFlow的人工智能课程建设</w:t>
      </w:r>
      <w:r w:rsidRPr="00133E73">
        <w:rPr>
          <w:rFonts w:ascii="STFangsong" w:eastAsia="STFangsong" w:hAnsi="STFangsong" w:cs="Arial Unicode MS"/>
          <w:sz w:val="24"/>
          <w:szCs w:val="24"/>
        </w:rPr>
        <w:t>。种子学校负责组织课程研讨会或教学研讨会，利用自身渠道招募学校加入。要求：本区域内的高职学校，非高职院校不属于这个项目范畴。</w:t>
      </w:r>
    </w:p>
    <w:p w14:paraId="154A3568" w14:textId="77777777" w:rsidR="00BD1998" w:rsidRPr="00133E73" w:rsidRDefault="002F7EB3" w:rsidP="00585707">
      <w:pPr>
        <w:numPr>
          <w:ilvl w:val="0"/>
          <w:numId w:val="3"/>
        </w:numPr>
        <w:jc w:val="both"/>
        <w:rPr>
          <w:rFonts w:ascii="STFangsong" w:eastAsia="STFangsong" w:hAnsi="STFangsong"/>
          <w:sz w:val="24"/>
          <w:szCs w:val="24"/>
        </w:rPr>
      </w:pPr>
      <w:r w:rsidRPr="00133E73">
        <w:rPr>
          <w:rFonts w:ascii="STFangsong" w:eastAsia="STFangsong" w:hAnsi="STFangsong" w:cs="Arial Unicode MS"/>
          <w:sz w:val="24"/>
          <w:szCs w:val="24"/>
        </w:rPr>
        <w:t>组织师资培训班，培训班的内容以入门（零基础）为主，围绕</w:t>
      </w:r>
      <w:r w:rsidRPr="00133E73">
        <w:rPr>
          <w:rFonts w:ascii="STFangsong" w:eastAsia="STFangsong" w:hAnsi="STFangsong" w:cs="Arial Unicode MS"/>
          <w:b/>
          <w:color w:val="FF0000"/>
          <w:sz w:val="24"/>
          <w:szCs w:val="24"/>
        </w:rPr>
        <w:t>TensorFlow人工智能应用开发</w:t>
      </w:r>
      <w:r w:rsidRPr="00133E73">
        <w:rPr>
          <w:rFonts w:ascii="STFangsong" w:eastAsia="STFangsong" w:hAnsi="STFangsong" w:cs="Arial Unicode MS"/>
          <w:sz w:val="24"/>
          <w:szCs w:val="24"/>
        </w:rPr>
        <w:t>。培训班的时间长度建议为3天。种子学校负责组织师资培训班，负责邀请讲师讲课，利用自身渠道招募学校老师参加培训。谷歌建议邀请获得“谷歌中国高职教育合作项目人工智能认证讲师”的老师来授课，</w:t>
      </w:r>
      <w:hyperlink r:id="rId7">
        <w:r w:rsidRPr="00133E73">
          <w:rPr>
            <w:rFonts w:ascii="STFangsong" w:eastAsia="STFangsong" w:hAnsi="STFangsong"/>
            <w:color w:val="1155CC"/>
            <w:sz w:val="24"/>
            <w:szCs w:val="24"/>
            <w:u w:val="single"/>
          </w:rPr>
          <w:t>名单公布</w:t>
        </w:r>
      </w:hyperlink>
      <w:r w:rsidRPr="00133E73">
        <w:rPr>
          <w:rFonts w:ascii="STFangsong" w:eastAsia="STFangsong" w:hAnsi="STFangsong" w:cs="Arial Unicode MS"/>
          <w:sz w:val="24"/>
          <w:szCs w:val="24"/>
        </w:rPr>
        <w:t>在谷歌中国教育合作项目网页。3天的授课内容可以和认证讲师商定。</w:t>
      </w:r>
    </w:p>
    <w:p w14:paraId="5AEF8A1B" w14:textId="77777777" w:rsidR="00BD1998" w:rsidRPr="00133E73" w:rsidRDefault="002F7EB3" w:rsidP="00585707">
      <w:pPr>
        <w:numPr>
          <w:ilvl w:val="0"/>
          <w:numId w:val="3"/>
        </w:numPr>
        <w:jc w:val="both"/>
        <w:rPr>
          <w:rFonts w:ascii="STFangsong" w:eastAsia="STFangsong" w:hAnsi="STFangsong"/>
          <w:sz w:val="24"/>
          <w:szCs w:val="24"/>
        </w:rPr>
      </w:pPr>
      <w:r w:rsidRPr="00133E73">
        <w:rPr>
          <w:rFonts w:ascii="STFangsong" w:eastAsia="STFangsong" w:hAnsi="STFangsong" w:cs="Arial Unicode MS"/>
          <w:sz w:val="24"/>
          <w:szCs w:val="24"/>
        </w:rPr>
        <w:t>此外，作为本区域的种子学校，种子学校的引领示范作用还体现在：必要时，对本区域内的学校，在TensorFlow开发课程上提供指导和帮助；对本区域内的学校，展示课程建设和教学实践成果，推进交流互动。</w:t>
      </w:r>
    </w:p>
    <w:p w14:paraId="329217E8" w14:textId="77777777" w:rsidR="00BD1998" w:rsidRPr="00133E73" w:rsidRDefault="00BD1998" w:rsidP="00585707">
      <w:pPr>
        <w:jc w:val="both"/>
        <w:rPr>
          <w:rFonts w:ascii="STFangsong" w:eastAsia="STFangsong" w:hAnsi="STFangsong"/>
          <w:sz w:val="24"/>
          <w:szCs w:val="24"/>
        </w:rPr>
      </w:pPr>
    </w:p>
    <w:p w14:paraId="29AC00EA" w14:textId="77777777"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二、对区域联盟项目种子学校的要求：</w:t>
      </w:r>
    </w:p>
    <w:p w14:paraId="46ABDE7C" w14:textId="77777777" w:rsidR="00BD1998" w:rsidRPr="00133E73" w:rsidRDefault="002F7EB3" w:rsidP="00585707">
      <w:pPr>
        <w:numPr>
          <w:ilvl w:val="0"/>
          <w:numId w:val="2"/>
        </w:numPr>
        <w:jc w:val="both"/>
        <w:rPr>
          <w:rFonts w:ascii="STFangsong" w:eastAsia="STFangsong" w:hAnsi="STFangsong"/>
          <w:sz w:val="24"/>
          <w:szCs w:val="24"/>
        </w:rPr>
      </w:pPr>
      <w:r w:rsidRPr="00133E73">
        <w:rPr>
          <w:rFonts w:ascii="STFangsong" w:eastAsia="STFangsong" w:hAnsi="STFangsong" w:cs="Arial Unicode MS"/>
          <w:sz w:val="24"/>
          <w:szCs w:val="24"/>
        </w:rPr>
        <w:t>具备相应的人力资源；</w:t>
      </w:r>
    </w:p>
    <w:p w14:paraId="4A830DD8" w14:textId="77777777" w:rsidR="00BD1998" w:rsidRPr="00133E73" w:rsidRDefault="002F7EB3" w:rsidP="00585707">
      <w:pPr>
        <w:numPr>
          <w:ilvl w:val="0"/>
          <w:numId w:val="2"/>
        </w:numPr>
        <w:jc w:val="both"/>
        <w:rPr>
          <w:rFonts w:ascii="STFangsong" w:eastAsia="STFangsong" w:hAnsi="STFangsong"/>
          <w:sz w:val="24"/>
          <w:szCs w:val="24"/>
        </w:rPr>
      </w:pPr>
      <w:r w:rsidRPr="00133E73">
        <w:rPr>
          <w:rFonts w:ascii="STFangsong" w:eastAsia="STFangsong" w:hAnsi="STFangsong" w:cs="Arial Unicode MS"/>
          <w:sz w:val="24"/>
          <w:szCs w:val="24"/>
        </w:rPr>
        <w:t>有热情为其他学校贡献；</w:t>
      </w:r>
    </w:p>
    <w:p w14:paraId="20B6E64C" w14:textId="77777777" w:rsidR="00BD1998" w:rsidRPr="00133E73" w:rsidRDefault="002F7EB3" w:rsidP="00585707">
      <w:pPr>
        <w:numPr>
          <w:ilvl w:val="0"/>
          <w:numId w:val="2"/>
        </w:numPr>
        <w:jc w:val="both"/>
        <w:rPr>
          <w:rFonts w:ascii="STFangsong" w:eastAsia="STFangsong" w:hAnsi="STFangsong"/>
          <w:sz w:val="24"/>
          <w:szCs w:val="24"/>
        </w:rPr>
      </w:pPr>
      <w:r w:rsidRPr="00133E73">
        <w:rPr>
          <w:rFonts w:ascii="STFangsong" w:eastAsia="STFangsong" w:hAnsi="STFangsong" w:cs="Arial Unicode MS"/>
          <w:sz w:val="24"/>
          <w:szCs w:val="24"/>
        </w:rPr>
        <w:lastRenderedPageBreak/>
        <w:t>交通便利；</w:t>
      </w:r>
    </w:p>
    <w:p w14:paraId="23ADA862" w14:textId="77777777" w:rsidR="00BD1998" w:rsidRPr="00133E73" w:rsidRDefault="002F7EB3" w:rsidP="00585707">
      <w:pPr>
        <w:numPr>
          <w:ilvl w:val="0"/>
          <w:numId w:val="2"/>
        </w:numPr>
        <w:jc w:val="both"/>
        <w:rPr>
          <w:rFonts w:ascii="STFangsong" w:eastAsia="STFangsong" w:hAnsi="STFangsong"/>
          <w:sz w:val="24"/>
          <w:szCs w:val="24"/>
        </w:rPr>
      </w:pPr>
      <w:r w:rsidRPr="00133E73">
        <w:rPr>
          <w:rFonts w:ascii="STFangsong" w:eastAsia="STFangsong" w:hAnsi="STFangsong" w:cs="Arial Unicode MS"/>
          <w:sz w:val="24"/>
          <w:szCs w:val="24"/>
        </w:rPr>
        <w:t>至少在本地区有影响力。</w:t>
      </w:r>
    </w:p>
    <w:p w14:paraId="582188F9" w14:textId="77777777" w:rsidR="00BD1998" w:rsidRPr="00133E73" w:rsidRDefault="00BD1998" w:rsidP="00585707">
      <w:pPr>
        <w:jc w:val="both"/>
        <w:rPr>
          <w:rFonts w:ascii="STFangsong" w:eastAsia="STFangsong" w:hAnsi="STFangsong"/>
          <w:sz w:val="24"/>
          <w:szCs w:val="24"/>
        </w:rPr>
      </w:pPr>
    </w:p>
    <w:p w14:paraId="19909C57" w14:textId="77777777"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三、申请谷歌经费：参加人员的用餐；非本市人员的住宿费用；讲师费用；场地费用等。费用标准将依照谷歌标准进行（如不清楚的，可向“七、问题与咨询中的联系人”询问）。2019年度各区域联盟项目的上限为人民币50000元。</w:t>
      </w:r>
    </w:p>
    <w:p w14:paraId="5BCA6DF3" w14:textId="77777777" w:rsidR="00BD1998" w:rsidRPr="00133E73" w:rsidRDefault="00BD1998" w:rsidP="00585707">
      <w:pPr>
        <w:jc w:val="both"/>
        <w:rPr>
          <w:rFonts w:ascii="STFangsong" w:eastAsia="STFangsong" w:hAnsi="STFangsong"/>
          <w:sz w:val="24"/>
          <w:szCs w:val="24"/>
        </w:rPr>
      </w:pPr>
    </w:p>
    <w:p w14:paraId="7FE8F3E4" w14:textId="5393896C"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四、区域联盟项目执行时间：从立项日期起至2019年12月31日期间执行。向谷歌提交集体照和通讯录（包含Google UR Key）作为项目结题标识。</w:t>
      </w:r>
    </w:p>
    <w:p w14:paraId="26E17242" w14:textId="77777777" w:rsidR="00BD1998" w:rsidRPr="00133E73" w:rsidRDefault="00BD1998" w:rsidP="00585707">
      <w:pPr>
        <w:jc w:val="both"/>
        <w:rPr>
          <w:rFonts w:ascii="STFangsong" w:eastAsia="STFangsong" w:hAnsi="STFangsong"/>
          <w:sz w:val="24"/>
          <w:szCs w:val="24"/>
        </w:rPr>
      </w:pPr>
    </w:p>
    <w:p w14:paraId="31E90E57" w14:textId="77777777"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五、项目要求和考核：承担区域联盟种子学校在本年度内，须组织2次或以上各类活动，其中包含至少1期师资培训班。覆盖本区域内至少30所高职院校。谷歌中国教育合作部对项目的考核要求包括：覆盖学校数量、活动次数、覆盖人数。</w:t>
      </w:r>
    </w:p>
    <w:p w14:paraId="54D7FA91" w14:textId="77777777" w:rsidR="00BD1998" w:rsidRPr="00133E73" w:rsidRDefault="00BD1998" w:rsidP="00585707">
      <w:pPr>
        <w:jc w:val="both"/>
        <w:rPr>
          <w:rFonts w:ascii="STFangsong" w:eastAsia="STFangsong" w:hAnsi="STFangsong"/>
          <w:sz w:val="24"/>
          <w:szCs w:val="24"/>
        </w:rPr>
      </w:pPr>
    </w:p>
    <w:p w14:paraId="7CB47A25" w14:textId="77777777"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六、申请办法：</w:t>
      </w:r>
    </w:p>
    <w:p w14:paraId="32BEC5BE" w14:textId="24340672" w:rsidR="00BD1998" w:rsidRPr="00133E73" w:rsidRDefault="002F7EB3" w:rsidP="00585707">
      <w:pPr>
        <w:numPr>
          <w:ilvl w:val="0"/>
          <w:numId w:val="4"/>
        </w:numPr>
        <w:jc w:val="both"/>
        <w:rPr>
          <w:rFonts w:ascii="STFangsong" w:eastAsia="STFangsong" w:hAnsi="STFangsong"/>
          <w:sz w:val="24"/>
          <w:szCs w:val="24"/>
        </w:rPr>
      </w:pPr>
      <w:r w:rsidRPr="00133E73">
        <w:rPr>
          <w:rFonts w:ascii="STFangsong" w:eastAsia="STFangsong" w:hAnsi="STFangsong" w:cs="Arial Unicode MS"/>
          <w:sz w:val="24"/>
          <w:szCs w:val="24"/>
        </w:rPr>
        <w:t>申报书没有统一模版</w:t>
      </w:r>
      <w:r w:rsidR="00E11932">
        <w:rPr>
          <w:rFonts w:ascii="STFangsong" w:eastAsia="STFangsong" w:hAnsi="STFangsong" w:cs="Arial Unicode MS" w:hint="eastAsia"/>
          <w:sz w:val="24"/>
          <w:szCs w:val="24"/>
        </w:rPr>
        <w:t>（附件仅供参考）</w:t>
      </w:r>
      <w:r w:rsidRPr="00133E73">
        <w:rPr>
          <w:rFonts w:ascii="STFangsong" w:eastAsia="STFangsong" w:hAnsi="STFangsong" w:cs="Arial Unicode MS"/>
          <w:sz w:val="24"/>
          <w:szCs w:val="24"/>
        </w:rPr>
        <w:t>，目的是不局限申报校的思维，可以发散创新，比如组织形式等。</w:t>
      </w:r>
    </w:p>
    <w:p w14:paraId="5BB4DDDE" w14:textId="48FE4252" w:rsidR="00BD1998" w:rsidRPr="00133E73" w:rsidRDefault="002F7EB3" w:rsidP="00585707">
      <w:pPr>
        <w:numPr>
          <w:ilvl w:val="0"/>
          <w:numId w:val="4"/>
        </w:numPr>
        <w:jc w:val="both"/>
        <w:rPr>
          <w:rFonts w:ascii="STFangsong" w:eastAsia="STFangsong" w:hAnsi="STFangsong"/>
          <w:sz w:val="24"/>
          <w:szCs w:val="24"/>
        </w:rPr>
      </w:pPr>
      <w:r w:rsidRPr="00133E73">
        <w:rPr>
          <w:rFonts w:ascii="STFangsong" w:eastAsia="STFangsong" w:hAnsi="STFangsong" w:cs="Arial Unicode MS"/>
          <w:sz w:val="24"/>
          <w:szCs w:val="24"/>
        </w:rPr>
        <w:t>申报书提交截止日期：201</w:t>
      </w:r>
      <w:r w:rsidR="006F6740" w:rsidRPr="00133E73">
        <w:rPr>
          <w:rFonts w:ascii="STFangsong" w:eastAsia="STFangsong" w:hAnsi="STFangsong" w:cs="Arial Unicode MS"/>
          <w:sz w:val="24"/>
          <w:szCs w:val="24"/>
        </w:rPr>
        <w:t>9</w:t>
      </w:r>
      <w:r w:rsidRPr="00133E73">
        <w:rPr>
          <w:rFonts w:ascii="STFangsong" w:eastAsia="STFangsong" w:hAnsi="STFangsong" w:cs="Arial Unicode MS"/>
          <w:sz w:val="24"/>
          <w:szCs w:val="24"/>
        </w:rPr>
        <w:t>年1月</w:t>
      </w:r>
      <w:r w:rsidR="006F6740" w:rsidRPr="00133E73">
        <w:rPr>
          <w:rFonts w:ascii="STFangsong" w:eastAsia="STFangsong" w:hAnsi="STFangsong" w:cs="Arial Unicode MS"/>
          <w:sz w:val="24"/>
          <w:szCs w:val="24"/>
        </w:rPr>
        <w:t>2</w:t>
      </w:r>
      <w:r w:rsidR="00F154D6">
        <w:rPr>
          <w:rFonts w:ascii="STFangsong" w:eastAsia="STFangsong" w:hAnsi="STFangsong" w:cs="Arial Unicode MS"/>
          <w:sz w:val="24"/>
          <w:szCs w:val="24"/>
        </w:rPr>
        <w:t>6</w:t>
      </w:r>
      <w:r w:rsidRPr="00133E73">
        <w:rPr>
          <w:rFonts w:ascii="STFangsong" w:eastAsia="STFangsong" w:hAnsi="STFangsong" w:cs="Arial Unicode MS"/>
          <w:sz w:val="24"/>
          <w:szCs w:val="24"/>
        </w:rPr>
        <w:t>日。</w:t>
      </w:r>
    </w:p>
    <w:p w14:paraId="44B0714E" w14:textId="5887EEB4" w:rsidR="00BD1998" w:rsidRPr="00133E73" w:rsidRDefault="002F7EB3" w:rsidP="00585707">
      <w:pPr>
        <w:numPr>
          <w:ilvl w:val="0"/>
          <w:numId w:val="4"/>
        </w:numPr>
        <w:jc w:val="both"/>
        <w:rPr>
          <w:rFonts w:ascii="STFangsong" w:eastAsia="STFangsong" w:hAnsi="STFangsong"/>
          <w:sz w:val="24"/>
          <w:szCs w:val="24"/>
        </w:rPr>
      </w:pPr>
      <w:r w:rsidRPr="00133E73">
        <w:rPr>
          <w:rFonts w:ascii="STFangsong" w:eastAsia="STFangsong" w:hAnsi="STFangsong" w:cs="Arial Unicode MS"/>
          <w:sz w:val="24"/>
          <w:szCs w:val="24"/>
        </w:rPr>
        <w:t>申报书请包含院校盖章的Word格式文件，</w:t>
      </w:r>
      <w:r w:rsidR="00684DEC">
        <w:rPr>
          <w:rFonts w:ascii="STFangsong" w:eastAsia="STFangsong" w:hAnsi="STFangsong" w:cs="Arial Unicode MS" w:hint="eastAsia"/>
          <w:sz w:val="24"/>
          <w:szCs w:val="24"/>
        </w:rPr>
        <w:t>盖</w:t>
      </w:r>
      <w:r w:rsidR="00D2404C">
        <w:rPr>
          <w:rFonts w:ascii="STFangsong" w:eastAsia="STFangsong" w:hAnsi="STFangsong" w:cs="Arial Unicode MS" w:hint="eastAsia"/>
          <w:sz w:val="24"/>
          <w:szCs w:val="24"/>
        </w:rPr>
        <w:t>院系章之后</w:t>
      </w:r>
      <w:r w:rsidRPr="00133E73">
        <w:rPr>
          <w:rFonts w:ascii="STFangsong" w:eastAsia="STFangsong" w:hAnsi="STFangsong" w:cs="Arial Unicode MS" w:hint="eastAsia"/>
          <w:sz w:val="24"/>
          <w:szCs w:val="24"/>
        </w:rPr>
        <w:t>发</w:t>
      </w:r>
      <w:r w:rsidRPr="00133E73">
        <w:rPr>
          <w:rFonts w:ascii="STFangsong" w:eastAsia="STFangsong" w:hAnsi="STFangsong" w:cs="Arial Unicode MS"/>
          <w:sz w:val="24"/>
          <w:szCs w:val="24"/>
        </w:rPr>
        <w:t>送至：</w:t>
      </w:r>
      <w:hyperlink r:id="rId8">
        <w:r w:rsidRPr="00133E73">
          <w:rPr>
            <w:rFonts w:ascii="STFangsong" w:eastAsia="STFangsong" w:hAnsi="STFangsong"/>
            <w:color w:val="1155CC"/>
            <w:sz w:val="24"/>
            <w:szCs w:val="24"/>
            <w:u w:val="single"/>
          </w:rPr>
          <w:t>amzhu@google.com</w:t>
        </w:r>
      </w:hyperlink>
      <w:r w:rsidRPr="00133E73">
        <w:rPr>
          <w:rFonts w:ascii="STFangsong" w:eastAsia="STFangsong" w:hAnsi="STFangsong" w:cs="Arial Unicode MS"/>
          <w:sz w:val="24"/>
          <w:szCs w:val="24"/>
        </w:rPr>
        <w:t>。</w:t>
      </w:r>
    </w:p>
    <w:p w14:paraId="3FF78724" w14:textId="77777777" w:rsidR="00BD1998" w:rsidRPr="00133E73" w:rsidRDefault="002F7EB3" w:rsidP="00585707">
      <w:pPr>
        <w:numPr>
          <w:ilvl w:val="0"/>
          <w:numId w:val="4"/>
        </w:numPr>
        <w:jc w:val="both"/>
        <w:rPr>
          <w:rFonts w:ascii="STFangsong" w:eastAsia="STFangsong" w:hAnsi="STFangsong"/>
          <w:sz w:val="24"/>
          <w:szCs w:val="24"/>
        </w:rPr>
      </w:pPr>
      <w:r w:rsidRPr="00133E73">
        <w:rPr>
          <w:rFonts w:ascii="STFangsong" w:eastAsia="STFangsong" w:hAnsi="STFangsong" w:cs="Arial Unicode MS"/>
          <w:sz w:val="24"/>
          <w:szCs w:val="24"/>
        </w:rPr>
        <w:t>谷歌中国教育合作部将在收到申报表之后做评审。如能立项，则进入后续流程。</w:t>
      </w:r>
    </w:p>
    <w:p w14:paraId="160846B3" w14:textId="0AFFCEF9" w:rsidR="00BD1998" w:rsidRPr="00133E73" w:rsidRDefault="002F7EB3" w:rsidP="00585707">
      <w:pPr>
        <w:numPr>
          <w:ilvl w:val="0"/>
          <w:numId w:val="4"/>
        </w:numPr>
        <w:jc w:val="both"/>
        <w:rPr>
          <w:rFonts w:ascii="STFangsong" w:eastAsia="STFangsong" w:hAnsi="STFangsong"/>
          <w:sz w:val="24"/>
          <w:szCs w:val="24"/>
        </w:rPr>
      </w:pPr>
      <w:r w:rsidRPr="00133E73">
        <w:rPr>
          <w:rFonts w:ascii="STFangsong" w:eastAsia="STFangsong" w:hAnsi="STFangsong" w:cs="Arial Unicode MS"/>
          <w:sz w:val="24"/>
          <w:szCs w:val="24"/>
        </w:rPr>
        <w:t>立项项目将在201</w:t>
      </w:r>
      <w:r w:rsidR="006F6740" w:rsidRPr="00133E73">
        <w:rPr>
          <w:rFonts w:ascii="STFangsong" w:eastAsia="STFangsong" w:hAnsi="STFangsong" w:cs="Arial Unicode MS"/>
          <w:sz w:val="24"/>
          <w:szCs w:val="24"/>
        </w:rPr>
        <w:t>9</w:t>
      </w:r>
      <w:r w:rsidRPr="00133E73">
        <w:rPr>
          <w:rFonts w:ascii="STFangsong" w:eastAsia="STFangsong" w:hAnsi="STFangsong" w:cs="Arial Unicode MS"/>
          <w:sz w:val="24"/>
          <w:szCs w:val="24"/>
        </w:rPr>
        <w:t>年</w:t>
      </w:r>
      <w:r w:rsidR="006F6740" w:rsidRPr="00133E73">
        <w:rPr>
          <w:rFonts w:ascii="STFangsong" w:eastAsia="STFangsong" w:hAnsi="STFangsong" w:cs="Arial Unicode MS"/>
          <w:sz w:val="24"/>
          <w:szCs w:val="24"/>
        </w:rPr>
        <w:t>3</w:t>
      </w:r>
      <w:r w:rsidRPr="00133E73">
        <w:rPr>
          <w:rFonts w:ascii="STFangsong" w:eastAsia="STFangsong" w:hAnsi="STFangsong" w:cs="Arial Unicode MS"/>
          <w:sz w:val="24"/>
          <w:szCs w:val="24"/>
        </w:rPr>
        <w:t>月</w:t>
      </w:r>
      <w:r w:rsidR="006F6740" w:rsidRPr="00133E73">
        <w:rPr>
          <w:rFonts w:ascii="STFangsong" w:eastAsia="STFangsong" w:hAnsi="STFangsong" w:cs="Arial Unicode MS" w:hint="eastAsia"/>
          <w:sz w:val="24"/>
          <w:szCs w:val="24"/>
        </w:rPr>
        <w:t>进行公布</w:t>
      </w:r>
      <w:r w:rsidRPr="00133E73">
        <w:rPr>
          <w:rFonts w:ascii="STFangsong" w:eastAsia="STFangsong" w:hAnsi="STFangsong" w:cs="Arial Unicode MS"/>
          <w:sz w:val="24"/>
          <w:szCs w:val="24"/>
        </w:rPr>
        <w:t>。</w:t>
      </w:r>
    </w:p>
    <w:p w14:paraId="568CF39A" w14:textId="77777777" w:rsidR="00BD1998" w:rsidRPr="00133E73" w:rsidRDefault="00BD1998" w:rsidP="00585707">
      <w:pPr>
        <w:jc w:val="both"/>
        <w:rPr>
          <w:rFonts w:ascii="STFangsong" w:eastAsia="STFangsong" w:hAnsi="STFangsong"/>
          <w:sz w:val="24"/>
          <w:szCs w:val="24"/>
        </w:rPr>
      </w:pPr>
    </w:p>
    <w:p w14:paraId="786A4C15" w14:textId="77777777" w:rsidR="00BD1998" w:rsidRPr="00133E73" w:rsidRDefault="002F7EB3" w:rsidP="00585707">
      <w:pPr>
        <w:jc w:val="both"/>
        <w:rPr>
          <w:rFonts w:ascii="STFangsong" w:eastAsia="STFangsong" w:hAnsi="STFangsong"/>
          <w:sz w:val="24"/>
          <w:szCs w:val="24"/>
        </w:rPr>
      </w:pPr>
      <w:r w:rsidRPr="00133E73">
        <w:rPr>
          <w:rFonts w:ascii="STFangsong" w:eastAsia="STFangsong" w:hAnsi="STFangsong" w:cs="Arial Unicode MS"/>
          <w:sz w:val="24"/>
          <w:szCs w:val="24"/>
        </w:rPr>
        <w:t>七、问题和询问：</w:t>
      </w:r>
    </w:p>
    <w:p w14:paraId="20F5CC79" w14:textId="690F7214" w:rsidR="00BD1998" w:rsidRPr="00133E73" w:rsidRDefault="002F7EB3" w:rsidP="008D2C2B">
      <w:pPr>
        <w:pStyle w:val="ListParagraph"/>
        <w:numPr>
          <w:ilvl w:val="0"/>
          <w:numId w:val="5"/>
        </w:numPr>
        <w:jc w:val="both"/>
        <w:rPr>
          <w:rFonts w:ascii="STFangsong" w:eastAsia="STFangsong" w:hAnsi="STFangsong"/>
          <w:sz w:val="24"/>
          <w:szCs w:val="24"/>
        </w:rPr>
      </w:pPr>
      <w:r w:rsidRPr="00133E73">
        <w:rPr>
          <w:rFonts w:ascii="STFangsong" w:eastAsia="STFangsong" w:hAnsi="STFangsong" w:cs="Arial Unicode MS"/>
          <w:sz w:val="24"/>
          <w:szCs w:val="24"/>
        </w:rPr>
        <w:t>朱爱民，</w:t>
      </w:r>
      <w:r w:rsidR="004B484B">
        <w:rPr>
          <w:rFonts w:ascii="STFangsong" w:eastAsia="STFangsong" w:hAnsi="STFangsong" w:cs="Arial Unicode MS" w:hint="eastAsia"/>
          <w:sz w:val="24"/>
          <w:szCs w:val="24"/>
        </w:rPr>
        <w:t>0</w:t>
      </w:r>
      <w:r w:rsidR="004B484B">
        <w:rPr>
          <w:rFonts w:ascii="STFangsong" w:eastAsia="STFangsong" w:hAnsi="STFangsong" w:cs="Arial Unicode MS"/>
          <w:sz w:val="24"/>
          <w:szCs w:val="24"/>
        </w:rPr>
        <w:t>21-61337375</w:t>
      </w:r>
      <w:r w:rsidR="004B484B">
        <w:rPr>
          <w:rFonts w:ascii="STFangsong" w:eastAsia="STFangsong" w:hAnsi="STFangsong" w:cs="Arial Unicode MS" w:hint="eastAsia"/>
          <w:sz w:val="24"/>
          <w:szCs w:val="24"/>
        </w:rPr>
        <w:t>，</w:t>
      </w:r>
      <w:hyperlink r:id="rId9" w:history="1">
        <w:r w:rsidR="004B484B" w:rsidRPr="00E72B98">
          <w:rPr>
            <w:rStyle w:val="Hyperlink"/>
            <w:rFonts w:ascii="STFangsong" w:eastAsia="STFangsong" w:hAnsi="STFangsong"/>
            <w:sz w:val="24"/>
            <w:szCs w:val="24"/>
          </w:rPr>
          <w:t>amzhu@google.com</w:t>
        </w:r>
      </w:hyperlink>
      <w:r w:rsidRPr="00133E73">
        <w:rPr>
          <w:rFonts w:ascii="STFangsong" w:eastAsia="STFangsong" w:hAnsi="STFangsong" w:cs="Arial Unicode MS"/>
          <w:sz w:val="24"/>
          <w:szCs w:val="24"/>
        </w:rPr>
        <w:t>；</w:t>
      </w:r>
    </w:p>
    <w:p w14:paraId="18E09A76" w14:textId="77777777" w:rsidR="00BD1998" w:rsidRPr="00133E73" w:rsidRDefault="00BD1998" w:rsidP="00585707">
      <w:pPr>
        <w:jc w:val="both"/>
        <w:rPr>
          <w:rFonts w:ascii="STFangsong" w:eastAsia="STFangsong" w:hAnsi="STFangsong"/>
          <w:sz w:val="24"/>
          <w:szCs w:val="24"/>
        </w:rPr>
      </w:pPr>
    </w:p>
    <w:p w14:paraId="7B925371" w14:textId="77777777" w:rsidR="00BD1998" w:rsidRPr="00133E73" w:rsidRDefault="00BD1998" w:rsidP="00585707">
      <w:pPr>
        <w:jc w:val="both"/>
        <w:rPr>
          <w:rFonts w:ascii="STFangsong" w:eastAsia="STFangsong" w:hAnsi="STFangsong"/>
          <w:sz w:val="24"/>
          <w:szCs w:val="24"/>
        </w:rPr>
      </w:pPr>
    </w:p>
    <w:p w14:paraId="37980731" w14:textId="77777777" w:rsidR="00BD1998" w:rsidRPr="00133E73" w:rsidRDefault="002F7EB3" w:rsidP="00133E73">
      <w:pPr>
        <w:jc w:val="right"/>
        <w:rPr>
          <w:rFonts w:ascii="STFangsong" w:eastAsia="STFangsong" w:hAnsi="STFangsong"/>
          <w:sz w:val="24"/>
          <w:szCs w:val="24"/>
        </w:rPr>
      </w:pPr>
      <w:r w:rsidRPr="00133E73">
        <w:rPr>
          <w:rFonts w:ascii="STFangsong" w:eastAsia="STFangsong" w:hAnsi="STFangsong" w:cs="Arial Unicode MS"/>
          <w:sz w:val="24"/>
          <w:szCs w:val="24"/>
        </w:rPr>
        <w:t xml:space="preserve"> 谷歌中国教育合作部</w:t>
      </w:r>
    </w:p>
    <w:p w14:paraId="5E58C76E" w14:textId="0EC82612" w:rsidR="00BD1998" w:rsidRDefault="002F7EB3" w:rsidP="00133E73">
      <w:pPr>
        <w:jc w:val="right"/>
        <w:rPr>
          <w:rFonts w:ascii="STFangsong" w:eastAsia="STFangsong" w:hAnsi="STFangsong" w:cs="Arial Unicode MS"/>
          <w:sz w:val="24"/>
          <w:szCs w:val="24"/>
        </w:rPr>
      </w:pPr>
      <w:r w:rsidRPr="00133E73">
        <w:rPr>
          <w:rFonts w:ascii="STFangsong" w:eastAsia="STFangsong" w:hAnsi="STFangsong" w:cs="Arial Unicode MS"/>
          <w:sz w:val="24"/>
          <w:szCs w:val="24"/>
        </w:rPr>
        <w:t>201</w:t>
      </w:r>
      <w:r w:rsidR="00133E73" w:rsidRPr="00133E73">
        <w:rPr>
          <w:rFonts w:ascii="STFangsong" w:eastAsia="STFangsong" w:hAnsi="STFangsong" w:cs="Arial Unicode MS"/>
          <w:sz w:val="24"/>
          <w:szCs w:val="24"/>
        </w:rPr>
        <w:t>9</w:t>
      </w:r>
      <w:r w:rsidRPr="00133E73">
        <w:rPr>
          <w:rFonts w:ascii="STFangsong" w:eastAsia="STFangsong" w:hAnsi="STFangsong" w:cs="Arial Unicode MS"/>
          <w:sz w:val="24"/>
          <w:szCs w:val="24"/>
        </w:rPr>
        <w:t>年1月</w:t>
      </w:r>
      <w:r w:rsidR="00133E73" w:rsidRPr="00133E73">
        <w:rPr>
          <w:rFonts w:ascii="STFangsong" w:eastAsia="STFangsong" w:hAnsi="STFangsong" w:cs="Arial Unicode MS"/>
          <w:sz w:val="24"/>
          <w:szCs w:val="24"/>
        </w:rPr>
        <w:t>2</w:t>
      </w:r>
      <w:r w:rsidRPr="00133E73">
        <w:rPr>
          <w:rFonts w:ascii="STFangsong" w:eastAsia="STFangsong" w:hAnsi="STFangsong" w:cs="Arial Unicode MS"/>
          <w:sz w:val="24"/>
          <w:szCs w:val="24"/>
        </w:rPr>
        <w:t>日</w:t>
      </w:r>
    </w:p>
    <w:p w14:paraId="2F692E9F" w14:textId="712E586F" w:rsidR="009D5517" w:rsidRDefault="009D5517">
      <w:pPr>
        <w:rPr>
          <w:rFonts w:ascii="STFangsong" w:eastAsia="STFangsong" w:hAnsi="STFangsong"/>
          <w:sz w:val="24"/>
          <w:szCs w:val="24"/>
        </w:rPr>
      </w:pPr>
      <w:r>
        <w:rPr>
          <w:rFonts w:ascii="STFangsong" w:eastAsia="STFangsong" w:hAnsi="STFangsong"/>
          <w:sz w:val="24"/>
          <w:szCs w:val="24"/>
        </w:rPr>
        <w:br w:type="page"/>
      </w:r>
    </w:p>
    <w:p w14:paraId="319D6856" w14:textId="0EC5837A" w:rsidR="009D5517" w:rsidRDefault="009D5517" w:rsidP="009D5517">
      <w:pPr>
        <w:jc w:val="both"/>
        <w:rPr>
          <w:rFonts w:ascii="STFangsong" w:eastAsia="STFangsong" w:hAnsi="STFangsong"/>
          <w:sz w:val="24"/>
          <w:szCs w:val="24"/>
        </w:rPr>
      </w:pPr>
      <w:r>
        <w:rPr>
          <w:rFonts w:ascii="STFangsong" w:eastAsia="STFangsong" w:hAnsi="STFangsong" w:hint="eastAsia"/>
          <w:sz w:val="24"/>
          <w:szCs w:val="24"/>
        </w:rPr>
        <w:lastRenderedPageBreak/>
        <w:t>附件：申报书格式供参考</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5564B" w:rsidRPr="0035564B" w14:paraId="02F6FBEE" w14:textId="77777777" w:rsidTr="00F576EF">
        <w:tc>
          <w:tcPr>
            <w:tcW w:w="9640" w:type="dxa"/>
            <w:shd w:val="clear" w:color="auto" w:fill="auto"/>
            <w:tcMar>
              <w:top w:w="100" w:type="dxa"/>
              <w:left w:w="100" w:type="dxa"/>
              <w:bottom w:w="100" w:type="dxa"/>
              <w:right w:w="100" w:type="dxa"/>
            </w:tcMar>
          </w:tcPr>
          <w:p w14:paraId="4011B91A"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主申报人UR Key:</w:t>
            </w:r>
          </w:p>
        </w:tc>
      </w:tr>
      <w:tr w:rsidR="0035564B" w:rsidRPr="0035564B" w14:paraId="1563653C" w14:textId="77777777" w:rsidTr="00F576EF">
        <w:tc>
          <w:tcPr>
            <w:tcW w:w="9640" w:type="dxa"/>
            <w:shd w:val="clear" w:color="auto" w:fill="auto"/>
            <w:tcMar>
              <w:top w:w="100" w:type="dxa"/>
              <w:left w:w="100" w:type="dxa"/>
              <w:bottom w:w="100" w:type="dxa"/>
              <w:right w:w="100" w:type="dxa"/>
            </w:tcMar>
          </w:tcPr>
          <w:p w14:paraId="582B9900"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联合申报人UR Key:</w:t>
            </w:r>
          </w:p>
          <w:p w14:paraId="1B99700B"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联合申报人UR Key:</w:t>
            </w:r>
          </w:p>
          <w:p w14:paraId="686C14B5"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（不够，可加行，下同）</w:t>
            </w:r>
          </w:p>
        </w:tc>
      </w:tr>
      <w:tr w:rsidR="0035564B" w:rsidRPr="0035564B" w14:paraId="3121F161" w14:textId="77777777" w:rsidTr="00F576EF">
        <w:tc>
          <w:tcPr>
            <w:tcW w:w="9640" w:type="dxa"/>
            <w:shd w:val="clear" w:color="auto" w:fill="auto"/>
            <w:tcMar>
              <w:top w:w="100" w:type="dxa"/>
              <w:left w:w="100" w:type="dxa"/>
              <w:bottom w:w="100" w:type="dxa"/>
              <w:right w:w="100" w:type="dxa"/>
            </w:tcMar>
          </w:tcPr>
          <w:p w14:paraId="212F5D7B"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所在省份：</w:t>
            </w:r>
          </w:p>
        </w:tc>
      </w:tr>
      <w:tr w:rsidR="007316B0" w:rsidRPr="0035564B" w14:paraId="7FD961D8" w14:textId="77777777" w:rsidTr="00F576EF">
        <w:tc>
          <w:tcPr>
            <w:tcW w:w="9640" w:type="dxa"/>
            <w:shd w:val="clear" w:color="auto" w:fill="auto"/>
            <w:tcMar>
              <w:top w:w="100" w:type="dxa"/>
              <w:left w:w="100" w:type="dxa"/>
              <w:bottom w:w="100" w:type="dxa"/>
              <w:right w:w="100" w:type="dxa"/>
            </w:tcMar>
          </w:tcPr>
          <w:p w14:paraId="7B4EE5A5" w14:textId="71320D63" w:rsidR="007316B0" w:rsidRDefault="007316B0"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r>
              <w:rPr>
                <w:rFonts w:ascii="STFangsong" w:eastAsia="STFangsong" w:hAnsi="STFangsong" w:cs="Arial Unicode MS" w:hint="eastAsia"/>
                <w:sz w:val="24"/>
                <w:szCs w:val="24"/>
              </w:rPr>
              <w:t>是否具有开展联盟的过往经验和基础：</w:t>
            </w:r>
          </w:p>
          <w:p w14:paraId="7C153FCE" w14:textId="77777777" w:rsidR="007316B0" w:rsidRDefault="007316B0"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p w14:paraId="1B4F5FB0" w14:textId="037C921C" w:rsidR="007316B0" w:rsidRDefault="007316B0"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p w14:paraId="5CFDFD95" w14:textId="16F62CED" w:rsidR="003A199C" w:rsidRDefault="003A199C"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p w14:paraId="7D2633DF" w14:textId="3DA0DF8F" w:rsidR="003A199C" w:rsidRDefault="003A199C"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p w14:paraId="5FAD3A01" w14:textId="13971607" w:rsidR="003A199C" w:rsidRDefault="003A199C"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p w14:paraId="2634BFF8" w14:textId="77777777" w:rsidR="003A199C" w:rsidRDefault="003A199C"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bookmarkStart w:id="0" w:name="_GoBack"/>
            <w:bookmarkEnd w:id="0"/>
          </w:p>
          <w:p w14:paraId="45A902B3" w14:textId="563DC8DB" w:rsidR="007316B0" w:rsidRPr="0035564B" w:rsidRDefault="007316B0" w:rsidP="00F576EF">
            <w:pPr>
              <w:widowControl w:val="0"/>
              <w:pBdr>
                <w:top w:val="nil"/>
                <w:left w:val="nil"/>
                <w:bottom w:val="nil"/>
                <w:right w:val="nil"/>
                <w:between w:val="nil"/>
              </w:pBdr>
              <w:spacing w:line="240" w:lineRule="auto"/>
              <w:rPr>
                <w:rFonts w:ascii="STFangsong" w:eastAsia="STFangsong" w:hAnsi="STFangsong" w:cs="Arial Unicode MS"/>
                <w:sz w:val="24"/>
                <w:szCs w:val="24"/>
              </w:rPr>
            </w:pPr>
          </w:p>
        </w:tc>
      </w:tr>
      <w:tr w:rsidR="0035564B" w:rsidRPr="0035564B" w14:paraId="59239585" w14:textId="77777777" w:rsidTr="00F576EF">
        <w:tc>
          <w:tcPr>
            <w:tcW w:w="9640" w:type="dxa"/>
            <w:shd w:val="clear" w:color="auto" w:fill="auto"/>
            <w:tcMar>
              <w:top w:w="100" w:type="dxa"/>
              <w:left w:w="100" w:type="dxa"/>
              <w:bottom w:w="100" w:type="dxa"/>
              <w:right w:w="100" w:type="dxa"/>
            </w:tcMar>
          </w:tcPr>
          <w:p w14:paraId="7E35EAD4"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区域联盟项目的思路和设想：</w:t>
            </w:r>
          </w:p>
          <w:p w14:paraId="757EC9FD"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C17DC3C"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A689DDF"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7A7D5710"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358205F6"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82B7FAA"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7CD79AC"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40C177F4"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tc>
      </w:tr>
      <w:tr w:rsidR="0035564B" w:rsidRPr="0035564B" w14:paraId="64FBA335" w14:textId="77777777" w:rsidTr="00F576EF">
        <w:tc>
          <w:tcPr>
            <w:tcW w:w="9640" w:type="dxa"/>
            <w:shd w:val="clear" w:color="auto" w:fill="auto"/>
            <w:tcMar>
              <w:top w:w="100" w:type="dxa"/>
              <w:left w:w="100" w:type="dxa"/>
              <w:bottom w:w="100" w:type="dxa"/>
              <w:right w:w="100" w:type="dxa"/>
            </w:tcMar>
          </w:tcPr>
          <w:p w14:paraId="3A46375D"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具体实施计划和工作内容：</w:t>
            </w:r>
          </w:p>
          <w:p w14:paraId="32C6CF0A"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（包括活动的日期、内容、计划等）</w:t>
            </w:r>
          </w:p>
          <w:p w14:paraId="10018DD3"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26AA8D4E"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77FB9EE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0B0C259E"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C0BD146"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C685115"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8FB66C5"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0FA29319"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AF1DF66"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C144A8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17C34A0"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tc>
      </w:tr>
      <w:tr w:rsidR="0035564B" w:rsidRPr="0035564B" w14:paraId="2E39C79A" w14:textId="77777777" w:rsidTr="00F576EF">
        <w:tc>
          <w:tcPr>
            <w:tcW w:w="9640" w:type="dxa"/>
            <w:shd w:val="clear" w:color="auto" w:fill="auto"/>
            <w:tcMar>
              <w:top w:w="100" w:type="dxa"/>
              <w:left w:w="100" w:type="dxa"/>
              <w:bottom w:w="100" w:type="dxa"/>
              <w:right w:w="100" w:type="dxa"/>
            </w:tcMar>
          </w:tcPr>
          <w:p w14:paraId="24B1143A" w14:textId="2701C00A"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lastRenderedPageBreak/>
              <w:t>对于拓展</w:t>
            </w:r>
            <w:r w:rsidR="00AE0195">
              <w:rPr>
                <w:rFonts w:ascii="STFangsong" w:eastAsia="STFangsong" w:hAnsi="STFangsong" w:cs="Arial Unicode MS" w:hint="eastAsia"/>
                <w:sz w:val="24"/>
                <w:szCs w:val="24"/>
              </w:rPr>
              <w:t>联盟</w:t>
            </w:r>
            <w:r w:rsidR="009D26B1">
              <w:rPr>
                <w:rFonts w:ascii="STFangsong" w:eastAsia="STFangsong" w:hAnsi="STFangsong" w:cs="Arial Unicode MS" w:hint="eastAsia"/>
                <w:sz w:val="24"/>
                <w:szCs w:val="24"/>
              </w:rPr>
              <w:t>学校</w:t>
            </w:r>
            <w:r w:rsidRPr="0035564B">
              <w:rPr>
                <w:rFonts w:ascii="STFangsong" w:eastAsia="STFangsong" w:hAnsi="STFangsong" w:cs="Arial Unicode MS"/>
                <w:sz w:val="24"/>
                <w:szCs w:val="24"/>
              </w:rPr>
              <w:t>的渠道，有何途径和方法？</w:t>
            </w:r>
          </w:p>
          <w:p w14:paraId="3861C51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9D30343"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4F30D723"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FBA4397"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47BFC495"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22E561F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4EC38C4"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054A9099"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1899E572"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304122A"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tc>
      </w:tr>
      <w:tr w:rsidR="0035564B" w:rsidRPr="0035564B" w14:paraId="01E747FE" w14:textId="77777777" w:rsidTr="00F576EF">
        <w:tc>
          <w:tcPr>
            <w:tcW w:w="9640" w:type="dxa"/>
            <w:shd w:val="clear" w:color="auto" w:fill="auto"/>
            <w:tcMar>
              <w:top w:w="100" w:type="dxa"/>
              <w:left w:w="100" w:type="dxa"/>
              <w:bottom w:w="100" w:type="dxa"/>
              <w:right w:w="100" w:type="dxa"/>
            </w:tcMar>
          </w:tcPr>
          <w:p w14:paraId="79AB1976" w14:textId="6B89BB14"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r w:rsidRPr="0035564B">
              <w:rPr>
                <w:rFonts w:ascii="STFangsong" w:eastAsia="STFangsong" w:hAnsi="STFangsong" w:cs="Arial Unicode MS"/>
                <w:sz w:val="24"/>
                <w:szCs w:val="24"/>
              </w:rPr>
              <w:t>经费需求（需要给出详细经费需求清单）：</w:t>
            </w:r>
          </w:p>
          <w:p w14:paraId="33FCBEC0"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1F26AC5"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5BF6E18E"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2937FB33"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3AC9B9B"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FDA7F7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2C590998"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p w14:paraId="6ED1CE61" w14:textId="77777777" w:rsidR="0035564B" w:rsidRPr="0035564B" w:rsidRDefault="0035564B" w:rsidP="00F576EF">
            <w:pPr>
              <w:widowControl w:val="0"/>
              <w:pBdr>
                <w:top w:val="nil"/>
                <w:left w:val="nil"/>
                <w:bottom w:val="nil"/>
                <w:right w:val="nil"/>
                <w:between w:val="nil"/>
              </w:pBdr>
              <w:spacing w:line="240" w:lineRule="auto"/>
              <w:rPr>
                <w:rFonts w:ascii="STFangsong" w:eastAsia="STFangsong" w:hAnsi="STFangsong"/>
                <w:sz w:val="24"/>
                <w:szCs w:val="24"/>
              </w:rPr>
            </w:pPr>
          </w:p>
        </w:tc>
      </w:tr>
      <w:tr w:rsidR="0035564B" w:rsidRPr="0035564B" w14:paraId="471D7BFD" w14:textId="77777777" w:rsidTr="00F576EF">
        <w:tc>
          <w:tcPr>
            <w:tcW w:w="9640" w:type="dxa"/>
            <w:shd w:val="clear" w:color="auto" w:fill="auto"/>
            <w:tcMar>
              <w:top w:w="100" w:type="dxa"/>
              <w:left w:w="100" w:type="dxa"/>
              <w:bottom w:w="100" w:type="dxa"/>
              <w:right w:w="100" w:type="dxa"/>
            </w:tcMar>
          </w:tcPr>
          <w:p w14:paraId="6CA43C20" w14:textId="1DDAE661" w:rsidR="0035564B" w:rsidRPr="0035564B" w:rsidRDefault="0035564B" w:rsidP="00F576EF">
            <w:pPr>
              <w:widowControl w:val="0"/>
              <w:jc w:val="both"/>
              <w:rPr>
                <w:rFonts w:ascii="STFangsong" w:eastAsia="STFangsong" w:hAnsi="STFangsong" w:cs="STFangsong"/>
                <w:sz w:val="24"/>
                <w:szCs w:val="24"/>
              </w:rPr>
            </w:pPr>
            <w:r w:rsidRPr="0035564B">
              <w:rPr>
                <w:rFonts w:ascii="STFangsong" w:eastAsia="STFangsong" w:hAnsi="STFangsong" w:cs="STFangsong"/>
                <w:sz w:val="24"/>
                <w:szCs w:val="24"/>
              </w:rPr>
              <w:t>开放和共享承诺</w:t>
            </w:r>
          </w:p>
          <w:p w14:paraId="73A37728" w14:textId="77777777" w:rsidR="0035564B" w:rsidRPr="0035564B" w:rsidRDefault="0035564B" w:rsidP="00F576EF">
            <w:pPr>
              <w:widowControl w:val="0"/>
              <w:jc w:val="both"/>
              <w:rPr>
                <w:rFonts w:ascii="STFangsong" w:eastAsia="STFangsong" w:hAnsi="STFangsong" w:cs="STFangsong"/>
                <w:sz w:val="24"/>
                <w:szCs w:val="24"/>
              </w:rPr>
            </w:pPr>
            <w:r w:rsidRPr="0035564B">
              <w:rPr>
                <w:rFonts w:ascii="STFangsong" w:eastAsia="STFangsong" w:hAnsi="STFangsong" w:cs="STFangsong"/>
                <w:i/>
                <w:sz w:val="24"/>
                <w:szCs w:val="24"/>
              </w:rPr>
              <w:t xml:space="preserve">    本人谨代表项目组全体成员承诺上述项目的建设内容可针对教育合作目的无偿开放和共享。</w:t>
            </w:r>
          </w:p>
          <w:p w14:paraId="611F2A26" w14:textId="77777777" w:rsidR="0035564B" w:rsidRPr="0035564B" w:rsidRDefault="0035564B" w:rsidP="00F576EF">
            <w:pPr>
              <w:widowControl w:val="0"/>
              <w:jc w:val="both"/>
              <w:rPr>
                <w:rFonts w:ascii="STFangsong" w:eastAsia="STFangsong" w:hAnsi="STFangsong" w:cs="STFangsong"/>
                <w:sz w:val="24"/>
                <w:szCs w:val="24"/>
              </w:rPr>
            </w:pPr>
          </w:p>
          <w:p w14:paraId="03A0CDF3" w14:textId="77777777" w:rsidR="0035564B" w:rsidRPr="0035564B" w:rsidRDefault="0035564B" w:rsidP="00F576EF">
            <w:pPr>
              <w:widowControl w:val="0"/>
              <w:jc w:val="right"/>
              <w:rPr>
                <w:rFonts w:ascii="STFangsong" w:eastAsia="STFangsong" w:hAnsi="STFangsong" w:cs="STFangsong"/>
                <w:sz w:val="24"/>
                <w:szCs w:val="24"/>
              </w:rPr>
            </w:pPr>
          </w:p>
          <w:p w14:paraId="4B098418" w14:textId="77777777" w:rsidR="0035564B" w:rsidRPr="0035564B" w:rsidRDefault="0035564B" w:rsidP="00F576EF">
            <w:pPr>
              <w:widowControl w:val="0"/>
              <w:jc w:val="right"/>
              <w:rPr>
                <w:rFonts w:ascii="STFangsong" w:eastAsia="STFangsong" w:hAnsi="STFangsong"/>
                <w:sz w:val="24"/>
                <w:szCs w:val="24"/>
              </w:rPr>
            </w:pPr>
            <w:r w:rsidRPr="0035564B">
              <w:rPr>
                <w:rFonts w:ascii="STFangsong" w:eastAsia="STFangsong" w:hAnsi="STFangsong" w:cs="STFangsong"/>
                <w:sz w:val="24"/>
                <w:szCs w:val="24"/>
              </w:rPr>
              <w:t>申报主负责人签名：________________________</w:t>
            </w:r>
          </w:p>
        </w:tc>
      </w:tr>
      <w:tr w:rsidR="0035564B" w:rsidRPr="0035564B" w14:paraId="1651C078" w14:textId="77777777" w:rsidTr="00F576EF">
        <w:tc>
          <w:tcPr>
            <w:tcW w:w="9640" w:type="dxa"/>
            <w:shd w:val="clear" w:color="auto" w:fill="auto"/>
            <w:tcMar>
              <w:top w:w="100" w:type="dxa"/>
              <w:left w:w="100" w:type="dxa"/>
              <w:bottom w:w="100" w:type="dxa"/>
              <w:right w:w="100" w:type="dxa"/>
            </w:tcMar>
          </w:tcPr>
          <w:p w14:paraId="512A68A2" w14:textId="77777777" w:rsidR="0035564B" w:rsidRPr="0035564B" w:rsidRDefault="0035564B" w:rsidP="00F576EF">
            <w:pPr>
              <w:widowControl w:val="0"/>
              <w:jc w:val="both"/>
              <w:rPr>
                <w:rFonts w:ascii="STFangsong" w:eastAsia="STFangsong" w:hAnsi="STFangsong" w:cs="STFangsong"/>
                <w:sz w:val="24"/>
                <w:szCs w:val="24"/>
              </w:rPr>
            </w:pPr>
            <w:r w:rsidRPr="0035564B">
              <w:rPr>
                <w:rFonts w:ascii="STFangsong" w:eastAsia="STFangsong" w:hAnsi="STFangsong" w:cs="STFangsong"/>
                <w:sz w:val="24"/>
                <w:szCs w:val="24"/>
              </w:rPr>
              <w:t>院系（单位）意见</w:t>
            </w:r>
          </w:p>
          <w:p w14:paraId="6CA92DF9" w14:textId="71C4D14E" w:rsidR="0035564B" w:rsidRDefault="0035564B" w:rsidP="00F576EF">
            <w:pPr>
              <w:widowControl w:val="0"/>
              <w:jc w:val="both"/>
              <w:rPr>
                <w:rFonts w:ascii="STFangsong" w:eastAsia="STFangsong" w:hAnsi="STFangsong" w:cs="STFangsong"/>
                <w:sz w:val="24"/>
                <w:szCs w:val="24"/>
              </w:rPr>
            </w:pPr>
          </w:p>
          <w:p w14:paraId="269E94C6" w14:textId="77777777" w:rsidR="0035564B" w:rsidRPr="0035564B" w:rsidRDefault="0035564B" w:rsidP="00F576EF">
            <w:pPr>
              <w:widowControl w:val="0"/>
              <w:jc w:val="both"/>
              <w:rPr>
                <w:rFonts w:ascii="STFangsong" w:eastAsia="STFangsong" w:hAnsi="STFangsong" w:cs="STFangsong"/>
                <w:sz w:val="24"/>
                <w:szCs w:val="24"/>
              </w:rPr>
            </w:pPr>
          </w:p>
          <w:p w14:paraId="3155AAA2" w14:textId="77777777" w:rsidR="0035564B" w:rsidRPr="0035564B" w:rsidRDefault="0035564B" w:rsidP="00F576EF">
            <w:pPr>
              <w:widowControl w:val="0"/>
              <w:jc w:val="both"/>
              <w:rPr>
                <w:rFonts w:ascii="STFangsong" w:eastAsia="STFangsong" w:hAnsi="STFangsong" w:cs="STFangsong"/>
                <w:sz w:val="24"/>
                <w:szCs w:val="24"/>
              </w:rPr>
            </w:pPr>
            <w:bookmarkStart w:id="1" w:name="_30j0zll" w:colFirst="0" w:colLast="0"/>
            <w:bookmarkEnd w:id="1"/>
          </w:p>
          <w:p w14:paraId="3E7FE863" w14:textId="77777777" w:rsidR="0035564B" w:rsidRPr="0035564B" w:rsidRDefault="0035564B" w:rsidP="00F576EF">
            <w:pPr>
              <w:widowControl w:val="0"/>
              <w:jc w:val="both"/>
              <w:rPr>
                <w:rFonts w:ascii="STFangsong" w:eastAsia="STFangsong" w:hAnsi="STFangsong" w:cs="STFangsong"/>
                <w:sz w:val="24"/>
                <w:szCs w:val="24"/>
              </w:rPr>
            </w:pPr>
          </w:p>
          <w:p w14:paraId="4C02E825" w14:textId="77777777" w:rsidR="0035564B" w:rsidRPr="0035564B" w:rsidRDefault="0035564B" w:rsidP="00F576EF">
            <w:pPr>
              <w:widowControl w:val="0"/>
              <w:jc w:val="both"/>
              <w:rPr>
                <w:rFonts w:ascii="STFangsong" w:eastAsia="STFangsong" w:hAnsi="STFangsong" w:cs="STFangsong"/>
                <w:sz w:val="24"/>
                <w:szCs w:val="24"/>
              </w:rPr>
            </w:pPr>
            <w:r w:rsidRPr="0035564B">
              <w:rPr>
                <w:rFonts w:ascii="STFangsong" w:eastAsia="STFangsong" w:hAnsi="STFangsong" w:cs="STFangsong"/>
                <w:sz w:val="24"/>
                <w:szCs w:val="24"/>
              </w:rPr>
              <w:t xml:space="preserve">                                                                                   院系（单位盖章）：</w:t>
            </w:r>
          </w:p>
          <w:p w14:paraId="2690A68A" w14:textId="77777777" w:rsidR="0035564B" w:rsidRPr="0035564B" w:rsidRDefault="0035564B" w:rsidP="00F576EF">
            <w:pPr>
              <w:widowControl w:val="0"/>
              <w:jc w:val="both"/>
              <w:rPr>
                <w:rFonts w:ascii="STFangsong" w:eastAsia="STFangsong" w:hAnsi="STFangsong"/>
                <w:sz w:val="24"/>
                <w:szCs w:val="24"/>
              </w:rPr>
            </w:pPr>
            <w:r w:rsidRPr="0035564B">
              <w:rPr>
                <w:rFonts w:ascii="STFangsong" w:eastAsia="STFangsong" w:hAnsi="STFangsong" w:cs="STFangsong"/>
                <w:sz w:val="24"/>
                <w:szCs w:val="24"/>
              </w:rPr>
              <w:t xml:space="preserve">                                                                                   年             月             日</w:t>
            </w:r>
          </w:p>
        </w:tc>
      </w:tr>
    </w:tbl>
    <w:p w14:paraId="4A51944B" w14:textId="77777777" w:rsidR="00E11932" w:rsidRPr="00133E73" w:rsidRDefault="00E11932" w:rsidP="009D5517">
      <w:pPr>
        <w:jc w:val="both"/>
        <w:rPr>
          <w:rFonts w:ascii="STFangsong" w:eastAsia="STFangsong" w:hAnsi="STFangsong"/>
          <w:sz w:val="24"/>
          <w:szCs w:val="24"/>
        </w:rPr>
      </w:pPr>
    </w:p>
    <w:sectPr w:rsidR="00E11932" w:rsidRPr="00133E73">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1E61" w14:textId="77777777" w:rsidR="00837614" w:rsidRDefault="00837614">
      <w:pPr>
        <w:spacing w:line="240" w:lineRule="auto"/>
      </w:pPr>
      <w:r>
        <w:separator/>
      </w:r>
    </w:p>
  </w:endnote>
  <w:endnote w:type="continuationSeparator" w:id="0">
    <w:p w14:paraId="45E18D13" w14:textId="77777777" w:rsidR="00837614" w:rsidRDefault="00837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6F3" w14:textId="77777777" w:rsidR="003A199C" w:rsidRDefault="003A1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B97B" w14:textId="77777777" w:rsidR="00BD1998" w:rsidRPr="00133E73" w:rsidRDefault="002F7EB3">
    <w:pPr>
      <w:jc w:val="center"/>
      <w:rPr>
        <w:sz w:val="20"/>
        <w:szCs w:val="20"/>
      </w:rPr>
    </w:pPr>
    <w:r w:rsidRPr="00133E73">
      <w:rPr>
        <w:sz w:val="20"/>
        <w:szCs w:val="20"/>
      </w:rPr>
      <w:fldChar w:fldCharType="begin"/>
    </w:r>
    <w:r w:rsidRPr="00133E73">
      <w:rPr>
        <w:sz w:val="20"/>
        <w:szCs w:val="20"/>
      </w:rPr>
      <w:instrText>PAGE</w:instrText>
    </w:r>
    <w:r w:rsidRPr="00133E73">
      <w:rPr>
        <w:sz w:val="20"/>
        <w:szCs w:val="20"/>
      </w:rPr>
      <w:fldChar w:fldCharType="separate"/>
    </w:r>
    <w:r w:rsidR="00585707" w:rsidRPr="00133E73">
      <w:rPr>
        <w:noProof/>
        <w:sz w:val="20"/>
        <w:szCs w:val="20"/>
      </w:rPr>
      <w:t>1</w:t>
    </w:r>
    <w:r w:rsidRPr="00133E7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E856" w14:textId="77777777" w:rsidR="003A199C" w:rsidRDefault="003A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2895" w14:textId="77777777" w:rsidR="00837614" w:rsidRDefault="00837614">
      <w:pPr>
        <w:spacing w:line="240" w:lineRule="auto"/>
      </w:pPr>
      <w:r>
        <w:separator/>
      </w:r>
    </w:p>
  </w:footnote>
  <w:footnote w:type="continuationSeparator" w:id="0">
    <w:p w14:paraId="1FE9010D" w14:textId="77777777" w:rsidR="00837614" w:rsidRDefault="00837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3F1B" w14:textId="77777777" w:rsidR="00585707" w:rsidRDefault="0058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981B" w14:textId="77777777" w:rsidR="00585707" w:rsidRDefault="00585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59CF" w14:textId="77777777" w:rsidR="00585707" w:rsidRDefault="0058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D5510"/>
    <w:multiLevelType w:val="hybridMultilevel"/>
    <w:tmpl w:val="24B4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6F1C2A"/>
    <w:multiLevelType w:val="multilevel"/>
    <w:tmpl w:val="5BA65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927A04"/>
    <w:multiLevelType w:val="multilevel"/>
    <w:tmpl w:val="7966E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D78AD"/>
    <w:multiLevelType w:val="multilevel"/>
    <w:tmpl w:val="B4CA5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283736"/>
    <w:multiLevelType w:val="multilevel"/>
    <w:tmpl w:val="B6D8F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D1998"/>
    <w:rsid w:val="00133E73"/>
    <w:rsid w:val="002F7EB3"/>
    <w:rsid w:val="0035564B"/>
    <w:rsid w:val="003A199C"/>
    <w:rsid w:val="004B484B"/>
    <w:rsid w:val="00585707"/>
    <w:rsid w:val="00684DEC"/>
    <w:rsid w:val="006F6740"/>
    <w:rsid w:val="007316B0"/>
    <w:rsid w:val="00734CDF"/>
    <w:rsid w:val="00837614"/>
    <w:rsid w:val="008D2C2B"/>
    <w:rsid w:val="009D26B1"/>
    <w:rsid w:val="009D3D83"/>
    <w:rsid w:val="009D5517"/>
    <w:rsid w:val="00AE0195"/>
    <w:rsid w:val="00BD1998"/>
    <w:rsid w:val="00D2404C"/>
    <w:rsid w:val="00E11932"/>
    <w:rsid w:val="00F1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528E"/>
  <w15:docId w15:val="{7373EFE1-4865-6149-B0FE-89E62EC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Header">
    <w:name w:val="header"/>
    <w:basedOn w:val="Normal"/>
    <w:link w:val="HeaderChar"/>
    <w:uiPriority w:val="99"/>
    <w:unhideWhenUsed/>
    <w:rsid w:val="00585707"/>
    <w:pPr>
      <w:tabs>
        <w:tab w:val="center" w:pos="4680"/>
        <w:tab w:val="right" w:pos="9360"/>
      </w:tabs>
      <w:spacing w:line="240" w:lineRule="auto"/>
    </w:pPr>
  </w:style>
  <w:style w:type="character" w:customStyle="1" w:styleId="HeaderChar">
    <w:name w:val="Header Char"/>
    <w:basedOn w:val="DefaultParagraphFont"/>
    <w:link w:val="Header"/>
    <w:uiPriority w:val="99"/>
    <w:rsid w:val="00585707"/>
  </w:style>
  <w:style w:type="paragraph" w:styleId="Footer">
    <w:name w:val="footer"/>
    <w:basedOn w:val="Normal"/>
    <w:link w:val="FooterChar"/>
    <w:uiPriority w:val="99"/>
    <w:unhideWhenUsed/>
    <w:rsid w:val="00585707"/>
    <w:pPr>
      <w:tabs>
        <w:tab w:val="center" w:pos="4680"/>
        <w:tab w:val="right" w:pos="9360"/>
      </w:tabs>
      <w:spacing w:line="240" w:lineRule="auto"/>
    </w:pPr>
  </w:style>
  <w:style w:type="character" w:customStyle="1" w:styleId="FooterChar">
    <w:name w:val="Footer Char"/>
    <w:basedOn w:val="DefaultParagraphFont"/>
    <w:link w:val="Footer"/>
    <w:uiPriority w:val="99"/>
    <w:rsid w:val="00585707"/>
  </w:style>
  <w:style w:type="paragraph" w:styleId="ListParagraph">
    <w:name w:val="List Paragraph"/>
    <w:basedOn w:val="Normal"/>
    <w:uiPriority w:val="34"/>
    <w:qFormat/>
    <w:rsid w:val="008D2C2B"/>
    <w:pPr>
      <w:ind w:left="720"/>
      <w:contextualSpacing/>
    </w:pPr>
  </w:style>
  <w:style w:type="character" w:styleId="Hyperlink">
    <w:name w:val="Hyperlink"/>
    <w:basedOn w:val="DefaultParagraphFont"/>
    <w:uiPriority w:val="99"/>
    <w:unhideWhenUsed/>
    <w:rsid w:val="004B484B"/>
    <w:rPr>
      <w:color w:val="0000FF" w:themeColor="hyperlink"/>
      <w:u w:val="single"/>
    </w:rPr>
  </w:style>
  <w:style w:type="character" w:styleId="UnresolvedMention">
    <w:name w:val="Unresolved Mention"/>
    <w:basedOn w:val="DefaultParagraphFont"/>
    <w:uiPriority w:val="99"/>
    <w:semiHidden/>
    <w:unhideWhenUsed/>
    <w:rsid w:val="004B4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zhu@googl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n/intl/zh-CN_cn/university/vocational-schools/cerified-instructo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zhu@goog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2019-01-02T05:24:00Z</dcterms:created>
  <dcterms:modified xsi:type="dcterms:W3CDTF">2019-01-02T05:38:00Z</dcterms:modified>
</cp:coreProperties>
</file>